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sistema socioeconômico chinês apresenta um hibridismo de dois sistemas, pois traz aspectos do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capitalismo e do socialismo.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socialismo e do comunismo.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imperialismo e do hinduísmo.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feudalismo e do capitalismo.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Podemos caracterizar um país como rural quando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exportação de produtos agrícolas é maior que 50% do total de produção.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exportação de produtos pecuários é maior que 50% do total de produção.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de 50% da população vive em zona rural.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de 50% das exportações do país advém de produtos agropecuários.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As nações asiáticas que possuem um forte destaque no atual cenário econômico são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China, Rússia e Coreia do Sul.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Índia, Japão e Taiwan.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Japão, China e Índia.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China, Índia e Coreia do Sul.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 Índia tem alcançado destaque no mercado mundial devido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polos automotivos ultramodernos.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polos de tecnologia com mão de obra especializada.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numerosa mão de obra diversamente qualificada.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altos investimentos em commodities.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papel estratégico de influência militar da China tem sido percebido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pelas invasões sobre territórios asiáticos.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estreito alinhamento político e militar com a Rússia.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domínio econômico de nações que se tornaram aliados militares.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alto e crescente investimento em estrutura militar.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a ; 2. c; 3. c; 4. b; 5. d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